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8400" w14:textId="00A05F0F" w:rsidR="006A7919" w:rsidRDefault="006A7919" w:rsidP="006E7FD5">
      <w:pPr>
        <w:rPr>
          <w:rFonts w:ascii="Garamond" w:hAnsi="Garamond"/>
          <w:b/>
          <w:bCs/>
          <w:color w:val="004AAC"/>
          <w:sz w:val="30"/>
          <w:szCs w:val="30"/>
        </w:rPr>
      </w:pPr>
      <w:r>
        <w:rPr>
          <w:rFonts w:ascii="Garamond" w:hAnsi="Garamond"/>
          <w:b/>
          <w:bCs/>
          <w:color w:val="004AAC"/>
          <w:sz w:val="30"/>
          <w:szCs w:val="30"/>
        </w:rPr>
        <w:t>Key Points</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75"/>
        <w:gridCol w:w="4675"/>
      </w:tblGrid>
      <w:tr w:rsidR="006A7919" w14:paraId="5AC92E8B" w14:textId="77777777" w:rsidTr="006A7919">
        <w:tc>
          <w:tcPr>
            <w:tcW w:w="4963" w:type="dxa"/>
          </w:tcPr>
          <w:p w14:paraId="0814D8FB" w14:textId="1655FA4D" w:rsidR="006A7919" w:rsidRPr="006A7919" w:rsidRDefault="0085433B" w:rsidP="006A7919">
            <w:pPr>
              <w:pStyle w:val="ListParagraph"/>
              <w:numPr>
                <w:ilvl w:val="0"/>
                <w:numId w:val="4"/>
              </w:numPr>
              <w:rPr>
                <w:rFonts w:ascii="Garamond" w:hAnsi="Garamond"/>
                <w:b/>
                <w:bCs/>
                <w:sz w:val="30"/>
                <w:szCs w:val="30"/>
              </w:rPr>
            </w:pPr>
            <w:r>
              <w:rPr>
                <w:rFonts w:ascii="Garamond" w:hAnsi="Garamond"/>
                <w:b/>
                <w:bCs/>
                <w:sz w:val="30"/>
                <w:szCs w:val="30"/>
              </w:rPr>
              <w:t>Many OZ investors are looking for write offs against passive income</w:t>
            </w:r>
          </w:p>
        </w:tc>
        <w:tc>
          <w:tcPr>
            <w:tcW w:w="4963" w:type="dxa"/>
          </w:tcPr>
          <w:p w14:paraId="22D4DA58" w14:textId="0C9AA7DE" w:rsidR="006A7919" w:rsidRPr="006A7919" w:rsidRDefault="00790436" w:rsidP="006A7919">
            <w:pPr>
              <w:pStyle w:val="ListParagraph"/>
              <w:numPr>
                <w:ilvl w:val="0"/>
                <w:numId w:val="4"/>
              </w:numPr>
              <w:rPr>
                <w:rFonts w:ascii="Garamond" w:hAnsi="Garamond"/>
                <w:b/>
                <w:bCs/>
                <w:sz w:val="30"/>
                <w:szCs w:val="30"/>
              </w:rPr>
            </w:pPr>
            <w:r>
              <w:rPr>
                <w:rFonts w:ascii="Garamond" w:hAnsi="Garamond"/>
                <w:b/>
                <w:bCs/>
                <w:sz w:val="30"/>
                <w:szCs w:val="30"/>
              </w:rPr>
              <w:t>OZ projects often pass thru losses via depreciation on K1’s</w:t>
            </w:r>
          </w:p>
        </w:tc>
      </w:tr>
      <w:tr w:rsidR="006A7919" w14:paraId="0AAEAAC2" w14:textId="77777777" w:rsidTr="006A7919">
        <w:tc>
          <w:tcPr>
            <w:tcW w:w="4963" w:type="dxa"/>
          </w:tcPr>
          <w:p w14:paraId="730B7CC2" w14:textId="0BCE34F6" w:rsidR="006A7919" w:rsidRPr="006A7919" w:rsidRDefault="00790436" w:rsidP="006A7919">
            <w:pPr>
              <w:pStyle w:val="ListParagraph"/>
              <w:numPr>
                <w:ilvl w:val="0"/>
                <w:numId w:val="4"/>
              </w:numPr>
              <w:rPr>
                <w:rFonts w:ascii="Garamond" w:hAnsi="Garamond"/>
                <w:b/>
                <w:bCs/>
                <w:sz w:val="30"/>
                <w:szCs w:val="30"/>
              </w:rPr>
            </w:pPr>
            <w:r>
              <w:rPr>
                <w:rFonts w:ascii="Garamond" w:hAnsi="Garamond"/>
                <w:b/>
                <w:bCs/>
                <w:sz w:val="30"/>
                <w:szCs w:val="30"/>
              </w:rPr>
              <w:t>In a normal investment, the depreciation needs to be recaptured at sale</w:t>
            </w:r>
          </w:p>
        </w:tc>
        <w:tc>
          <w:tcPr>
            <w:tcW w:w="4963" w:type="dxa"/>
          </w:tcPr>
          <w:p w14:paraId="1ABE1EC2" w14:textId="07CAAD16" w:rsidR="006A7919" w:rsidRPr="006A7919" w:rsidRDefault="00790436" w:rsidP="006A7919">
            <w:pPr>
              <w:pStyle w:val="ListParagraph"/>
              <w:numPr>
                <w:ilvl w:val="0"/>
                <w:numId w:val="4"/>
              </w:numPr>
              <w:rPr>
                <w:rFonts w:ascii="Garamond" w:hAnsi="Garamond"/>
                <w:b/>
                <w:bCs/>
                <w:sz w:val="30"/>
                <w:szCs w:val="30"/>
              </w:rPr>
            </w:pPr>
            <w:r>
              <w:rPr>
                <w:rFonts w:ascii="Garamond" w:hAnsi="Garamond"/>
                <w:b/>
                <w:bCs/>
                <w:sz w:val="30"/>
                <w:szCs w:val="30"/>
              </w:rPr>
              <w:t xml:space="preserve">The OZ program eliminates the depreciation recapture after the </w:t>
            </w:r>
            <w:proofErr w:type="gramStart"/>
            <w:r>
              <w:rPr>
                <w:rFonts w:ascii="Garamond" w:hAnsi="Garamond"/>
                <w:b/>
                <w:bCs/>
                <w:sz w:val="30"/>
                <w:szCs w:val="30"/>
              </w:rPr>
              <w:t>10 year</w:t>
            </w:r>
            <w:proofErr w:type="gramEnd"/>
            <w:r>
              <w:rPr>
                <w:rFonts w:ascii="Garamond" w:hAnsi="Garamond"/>
                <w:b/>
                <w:bCs/>
                <w:sz w:val="30"/>
                <w:szCs w:val="30"/>
              </w:rPr>
              <w:t xml:space="preserve"> hold period</w:t>
            </w:r>
          </w:p>
        </w:tc>
      </w:tr>
    </w:tbl>
    <w:p w14:paraId="40D9B0CD" w14:textId="77777777" w:rsidR="006A7919" w:rsidRDefault="006A7919" w:rsidP="006E7FD5">
      <w:pPr>
        <w:rPr>
          <w:rFonts w:ascii="Garamond" w:hAnsi="Garamond"/>
          <w:b/>
          <w:bCs/>
          <w:color w:val="004AAC"/>
          <w:sz w:val="30"/>
          <w:szCs w:val="30"/>
        </w:rPr>
      </w:pPr>
    </w:p>
    <w:p w14:paraId="4849D0AB" w14:textId="2ECDC1E5" w:rsidR="006E7FD5" w:rsidRPr="0022721C" w:rsidRDefault="00954539" w:rsidP="006E7FD5">
      <w:pPr>
        <w:rPr>
          <w:rFonts w:ascii="Garamond" w:hAnsi="Garamond"/>
          <w:b/>
          <w:bCs/>
          <w:color w:val="004AAC"/>
          <w:sz w:val="30"/>
          <w:szCs w:val="30"/>
        </w:rPr>
      </w:pPr>
      <w:r>
        <w:rPr>
          <w:rFonts w:ascii="Garamond" w:hAnsi="Garamond"/>
          <w:b/>
          <w:bCs/>
          <w:color w:val="004AAC"/>
          <w:sz w:val="30"/>
          <w:szCs w:val="30"/>
        </w:rPr>
        <w:t>Summary</w:t>
      </w:r>
    </w:p>
    <w:p w14:paraId="123E3047" w14:textId="77777777" w:rsidR="0085433B" w:rsidRDefault="00954539" w:rsidP="00954539">
      <w:pPr>
        <w:rPr>
          <w:rFonts w:ascii="Garamond" w:hAnsi="Garamond"/>
          <w:sz w:val="28"/>
          <w:szCs w:val="28"/>
        </w:rPr>
      </w:pPr>
      <w:r w:rsidRPr="00954539">
        <w:rPr>
          <w:rFonts w:ascii="Garamond" w:hAnsi="Garamond"/>
          <w:sz w:val="28"/>
          <w:szCs w:val="28"/>
        </w:rPr>
        <w:t>The Opportunity Zone program was created as part of the Tax Cuts and Jobs Act, which was signed into law in December 2017.</w:t>
      </w:r>
      <w:r>
        <w:rPr>
          <w:rFonts w:ascii="Garamond" w:hAnsi="Garamond"/>
          <w:sz w:val="28"/>
          <w:szCs w:val="28"/>
        </w:rPr>
        <w:t xml:space="preserve"> T</w:t>
      </w:r>
      <w:r w:rsidRPr="00954539">
        <w:rPr>
          <w:rFonts w:ascii="Garamond" w:hAnsi="Garamond"/>
          <w:sz w:val="28"/>
          <w:szCs w:val="28"/>
        </w:rPr>
        <w:t>he Opportunity Zone provisions were included in the tax reform legislation to encourage long-term private investments in low-income urban and rural communities across the United States.</w:t>
      </w:r>
      <w:r>
        <w:rPr>
          <w:rFonts w:ascii="Garamond" w:hAnsi="Garamond"/>
          <w:sz w:val="28"/>
          <w:szCs w:val="28"/>
        </w:rPr>
        <w:t xml:space="preserve"> </w:t>
      </w:r>
    </w:p>
    <w:p w14:paraId="7597358C" w14:textId="43C97E26" w:rsidR="0085433B" w:rsidRDefault="0085433B" w:rsidP="00954539">
      <w:pPr>
        <w:rPr>
          <w:rFonts w:ascii="Garamond" w:hAnsi="Garamond"/>
          <w:sz w:val="28"/>
          <w:szCs w:val="28"/>
        </w:rPr>
      </w:pPr>
      <w:r w:rsidRPr="0085433B">
        <w:rPr>
          <w:rFonts w:ascii="Garamond" w:hAnsi="Garamond"/>
          <w:sz w:val="28"/>
          <w:szCs w:val="28"/>
        </w:rPr>
        <w:t>One of the key advantages of investing in Qualified Opportunity Funds (QOFs) is the ability to permanently avoid paying taxes on the recapture of depreciation. Normally, when an investment property is sold, any depreciation deductions previously claimed must be "recaptured" and taxed as ordinary income, which can result in a substantial tax liability.</w:t>
      </w:r>
    </w:p>
    <w:p w14:paraId="360E9599" w14:textId="2EE6A464" w:rsidR="00954539" w:rsidRPr="00954539" w:rsidRDefault="0085433B" w:rsidP="006E7FD5">
      <w:pPr>
        <w:rPr>
          <w:rFonts w:ascii="Garamond" w:hAnsi="Garamond"/>
          <w:b/>
          <w:bCs/>
          <w:color w:val="004AAC"/>
          <w:sz w:val="30"/>
          <w:szCs w:val="30"/>
        </w:rPr>
      </w:pPr>
      <w:r>
        <w:rPr>
          <w:rFonts w:ascii="Garamond" w:hAnsi="Garamond"/>
          <w:b/>
          <w:bCs/>
          <w:color w:val="004AAC"/>
          <w:sz w:val="30"/>
          <w:szCs w:val="30"/>
        </w:rPr>
        <w:t xml:space="preserve">Avoidance of Depreciation Recapture </w:t>
      </w:r>
    </w:p>
    <w:p w14:paraId="7CA7B6EA" w14:textId="77777777" w:rsidR="0085433B" w:rsidRDefault="0085433B" w:rsidP="006E7FD5">
      <w:pPr>
        <w:rPr>
          <w:rFonts w:ascii="Garamond" w:hAnsi="Garamond"/>
          <w:sz w:val="28"/>
          <w:szCs w:val="28"/>
        </w:rPr>
      </w:pPr>
      <w:r w:rsidRPr="0085433B">
        <w:rPr>
          <w:rFonts w:ascii="Garamond" w:hAnsi="Garamond"/>
          <w:sz w:val="28"/>
          <w:szCs w:val="28"/>
        </w:rPr>
        <w:t>If the QOF investment is held for at least 10 years, the investor can elect to permanently exclude any post-investment appreciation, including any depreciation that would have otherwise been subject to recapture.</w:t>
      </w:r>
    </w:p>
    <w:p w14:paraId="18D7FF78" w14:textId="66FCF960" w:rsidR="0085433B" w:rsidRDefault="0085433B" w:rsidP="006E7FD5">
      <w:pPr>
        <w:rPr>
          <w:rFonts w:ascii="Garamond" w:hAnsi="Garamond"/>
          <w:sz w:val="28"/>
          <w:szCs w:val="28"/>
        </w:rPr>
      </w:pPr>
      <w:r>
        <w:rPr>
          <w:rFonts w:ascii="Garamond" w:hAnsi="Garamond"/>
          <w:sz w:val="28"/>
          <w:szCs w:val="28"/>
        </w:rPr>
        <w:t>Example:</w:t>
      </w:r>
    </w:p>
    <w:p w14:paraId="62745192" w14:textId="77777777" w:rsidR="0085433B" w:rsidRPr="0085433B" w:rsidRDefault="0085433B" w:rsidP="0085433B">
      <w:pPr>
        <w:rPr>
          <w:rFonts w:ascii="Garamond" w:hAnsi="Garamond"/>
          <w:sz w:val="28"/>
          <w:szCs w:val="28"/>
        </w:rPr>
      </w:pPr>
      <w:r w:rsidRPr="0085433B">
        <w:rPr>
          <w:rFonts w:ascii="Garamond" w:hAnsi="Garamond"/>
          <w:sz w:val="28"/>
          <w:szCs w:val="28"/>
        </w:rPr>
        <w:t>Let's say an investor has a $1 million capital gain from the sale of an investment property. They decide to reinvest that $1 million gain into a Qualified Opportunity Fund (QOF) that acquires and develops an apartment building in an Opportunity Zone.</w:t>
      </w:r>
    </w:p>
    <w:p w14:paraId="3E9665B9" w14:textId="77777777" w:rsidR="0085433B" w:rsidRPr="0085433B" w:rsidRDefault="0085433B" w:rsidP="0085433B">
      <w:pPr>
        <w:rPr>
          <w:rFonts w:ascii="Garamond" w:hAnsi="Garamond"/>
          <w:sz w:val="28"/>
          <w:szCs w:val="28"/>
        </w:rPr>
      </w:pPr>
      <w:r w:rsidRPr="0085433B">
        <w:rPr>
          <w:rFonts w:ascii="Garamond" w:hAnsi="Garamond"/>
          <w:sz w:val="28"/>
          <w:szCs w:val="28"/>
        </w:rPr>
        <w:t>Over the 10 years the investor holds the QOF investment, they claim $300,000 in depreciation deductions on the apartment building.</w:t>
      </w:r>
    </w:p>
    <w:p w14:paraId="700E7587" w14:textId="77777777" w:rsidR="0085433B" w:rsidRPr="0085433B" w:rsidRDefault="0085433B" w:rsidP="0085433B">
      <w:pPr>
        <w:rPr>
          <w:rFonts w:ascii="Garamond" w:hAnsi="Garamond"/>
          <w:b/>
          <w:bCs/>
          <w:sz w:val="28"/>
          <w:szCs w:val="28"/>
        </w:rPr>
      </w:pPr>
      <w:r w:rsidRPr="0085433B">
        <w:rPr>
          <w:rFonts w:ascii="Garamond" w:hAnsi="Garamond"/>
          <w:b/>
          <w:bCs/>
          <w:sz w:val="28"/>
          <w:szCs w:val="28"/>
        </w:rPr>
        <w:t>Traditional Investment:</w:t>
      </w:r>
    </w:p>
    <w:p w14:paraId="568EBB41" w14:textId="64FB2F09" w:rsidR="0085433B" w:rsidRPr="0085433B" w:rsidRDefault="0085433B" w:rsidP="0085433B">
      <w:pPr>
        <w:pStyle w:val="ListParagraph"/>
        <w:numPr>
          <w:ilvl w:val="0"/>
          <w:numId w:val="7"/>
        </w:numPr>
        <w:rPr>
          <w:rFonts w:ascii="Garamond" w:hAnsi="Garamond"/>
          <w:sz w:val="28"/>
          <w:szCs w:val="28"/>
        </w:rPr>
      </w:pPr>
      <w:r w:rsidRPr="0085433B">
        <w:rPr>
          <w:rFonts w:ascii="Garamond" w:hAnsi="Garamond"/>
          <w:sz w:val="28"/>
          <w:szCs w:val="28"/>
        </w:rPr>
        <w:lastRenderedPageBreak/>
        <w:t xml:space="preserve">If the investor sold the property after 10 years, they would owe tax on the $300,000 of depreciation recapture, at the </w:t>
      </w:r>
      <w:r>
        <w:rPr>
          <w:rFonts w:ascii="Garamond" w:hAnsi="Garamond"/>
          <w:sz w:val="28"/>
          <w:szCs w:val="28"/>
        </w:rPr>
        <w:t>37</w:t>
      </w:r>
      <w:r w:rsidRPr="0085433B">
        <w:rPr>
          <w:rFonts w:ascii="Garamond" w:hAnsi="Garamond"/>
          <w:sz w:val="28"/>
          <w:szCs w:val="28"/>
        </w:rPr>
        <w:t xml:space="preserve">% </w:t>
      </w:r>
      <w:r>
        <w:rPr>
          <w:rFonts w:ascii="Garamond" w:hAnsi="Garamond"/>
          <w:sz w:val="28"/>
          <w:szCs w:val="28"/>
        </w:rPr>
        <w:t>ordinary income</w:t>
      </w:r>
      <w:r w:rsidRPr="0085433B">
        <w:rPr>
          <w:rFonts w:ascii="Garamond" w:hAnsi="Garamond"/>
          <w:sz w:val="28"/>
          <w:szCs w:val="28"/>
        </w:rPr>
        <w:t xml:space="preserve"> tax rate. This would be an additional $</w:t>
      </w:r>
      <w:r>
        <w:rPr>
          <w:rFonts w:ascii="Garamond" w:hAnsi="Garamond"/>
          <w:sz w:val="28"/>
          <w:szCs w:val="28"/>
        </w:rPr>
        <w:t>111</w:t>
      </w:r>
      <w:r w:rsidRPr="0085433B">
        <w:rPr>
          <w:rFonts w:ascii="Garamond" w:hAnsi="Garamond"/>
          <w:sz w:val="28"/>
          <w:szCs w:val="28"/>
        </w:rPr>
        <w:t>,000 in taxes owed.</w:t>
      </w:r>
    </w:p>
    <w:p w14:paraId="67E7C6A2" w14:textId="77777777" w:rsidR="0085433B" w:rsidRPr="0085433B" w:rsidRDefault="0085433B" w:rsidP="0085433B">
      <w:pPr>
        <w:rPr>
          <w:rFonts w:ascii="Garamond" w:hAnsi="Garamond"/>
          <w:b/>
          <w:bCs/>
          <w:sz w:val="28"/>
          <w:szCs w:val="28"/>
        </w:rPr>
      </w:pPr>
      <w:r w:rsidRPr="0085433B">
        <w:rPr>
          <w:rFonts w:ascii="Garamond" w:hAnsi="Garamond"/>
          <w:b/>
          <w:bCs/>
          <w:sz w:val="28"/>
          <w:szCs w:val="28"/>
        </w:rPr>
        <w:t>Opportunity Zone Investment:</w:t>
      </w:r>
    </w:p>
    <w:p w14:paraId="31E14D40" w14:textId="717AD0FE" w:rsidR="0085433B" w:rsidRDefault="0085433B" w:rsidP="00790436">
      <w:pPr>
        <w:pStyle w:val="ListParagraph"/>
        <w:numPr>
          <w:ilvl w:val="0"/>
          <w:numId w:val="7"/>
        </w:numPr>
        <w:rPr>
          <w:rFonts w:ascii="Garamond" w:hAnsi="Garamond"/>
          <w:sz w:val="28"/>
          <w:szCs w:val="28"/>
        </w:rPr>
      </w:pPr>
      <w:r w:rsidRPr="0085433B">
        <w:rPr>
          <w:rFonts w:ascii="Garamond" w:hAnsi="Garamond"/>
          <w:sz w:val="28"/>
          <w:szCs w:val="28"/>
        </w:rPr>
        <w:t>If the investor holds the QOF investment for at least 10 years, they can elect to permanently exclude the post-investment appreciation, including the $300,000 in depreciation that would have been recaptured.</w:t>
      </w:r>
    </w:p>
    <w:p w14:paraId="0FB097CA" w14:textId="46706C6A" w:rsidR="00790436" w:rsidRPr="00790436" w:rsidRDefault="00790436" w:rsidP="00790436">
      <w:pPr>
        <w:rPr>
          <w:rFonts w:ascii="Garamond" w:hAnsi="Garamond"/>
          <w:sz w:val="28"/>
          <w:szCs w:val="28"/>
        </w:rPr>
      </w:pPr>
      <w:r>
        <w:rPr>
          <w:rFonts w:ascii="Garamond" w:hAnsi="Garamond"/>
          <w:sz w:val="28"/>
          <w:szCs w:val="28"/>
        </w:rPr>
        <w:t xml:space="preserve">It is important to note that the depreciation that investors receive over the life of any project can only be written off against certain income. </w:t>
      </w:r>
    </w:p>
    <w:p w14:paraId="2F8573A1" w14:textId="33F08E76" w:rsidR="0022721C" w:rsidRDefault="00954539" w:rsidP="006E7FD5">
      <w:pPr>
        <w:rPr>
          <w:rFonts w:ascii="Garamond" w:hAnsi="Garamond"/>
          <w:b/>
          <w:bCs/>
          <w:color w:val="004AAC"/>
          <w:sz w:val="30"/>
          <w:szCs w:val="30"/>
        </w:rPr>
      </w:pPr>
      <w:r>
        <w:rPr>
          <w:rFonts w:ascii="Garamond" w:hAnsi="Garamond"/>
          <w:b/>
          <w:bCs/>
          <w:color w:val="004AAC"/>
          <w:sz w:val="30"/>
          <w:szCs w:val="30"/>
        </w:rPr>
        <w:t>Pending Legislation</w:t>
      </w:r>
    </w:p>
    <w:p w14:paraId="619D7ABF" w14:textId="77777777" w:rsidR="00790436" w:rsidRDefault="00790436" w:rsidP="006E7FD5">
      <w:pPr>
        <w:rPr>
          <w:rFonts w:ascii="Garamond" w:hAnsi="Garamond"/>
          <w:sz w:val="28"/>
          <w:szCs w:val="28"/>
        </w:rPr>
      </w:pPr>
      <w:r w:rsidRPr="00790436">
        <w:rPr>
          <w:rFonts w:ascii="Garamond" w:hAnsi="Garamond"/>
          <w:sz w:val="28"/>
          <w:szCs w:val="28"/>
        </w:rPr>
        <w:t>The proposed Opportunity Zones Transparency, Extension, and Improvement Act does not appear to make any changes to the depreciation recapture rules for Opportunity Zone investments.</w:t>
      </w:r>
    </w:p>
    <w:p w14:paraId="3E16DDC1" w14:textId="13B353AB" w:rsidR="00A669A8" w:rsidRPr="00A669A8" w:rsidRDefault="00A669A8" w:rsidP="006E7FD5">
      <w:pPr>
        <w:rPr>
          <w:rFonts w:ascii="Garamond" w:hAnsi="Garamond"/>
          <w:b/>
          <w:bCs/>
          <w:color w:val="004AAC"/>
          <w:sz w:val="30"/>
          <w:szCs w:val="30"/>
        </w:rPr>
      </w:pPr>
      <w:r w:rsidRPr="00A669A8">
        <w:rPr>
          <w:rFonts w:ascii="Garamond" w:hAnsi="Garamond"/>
          <w:b/>
          <w:bCs/>
          <w:color w:val="004AAC"/>
          <w:sz w:val="30"/>
          <w:szCs w:val="30"/>
        </w:rPr>
        <w:t xml:space="preserve">Summary </w:t>
      </w:r>
    </w:p>
    <w:p w14:paraId="6D539CA8" w14:textId="76AB65A9" w:rsidR="0085770F" w:rsidRDefault="0085770F" w:rsidP="0085770F">
      <w:pPr>
        <w:rPr>
          <w:rFonts w:ascii="Garamond" w:hAnsi="Garamond"/>
          <w:sz w:val="28"/>
          <w:szCs w:val="28"/>
        </w:rPr>
      </w:pPr>
      <w:r w:rsidRPr="0085770F">
        <w:rPr>
          <w:rFonts w:ascii="Garamond" w:hAnsi="Garamond"/>
          <w:sz w:val="28"/>
          <w:szCs w:val="28"/>
        </w:rPr>
        <w:t>The Opportunity Zone tax incentive program provides investors with a compelling set of current and potential future benefits</w:t>
      </w:r>
      <w:r w:rsidR="00790436">
        <w:rPr>
          <w:rFonts w:ascii="Garamond" w:hAnsi="Garamond"/>
          <w:sz w:val="28"/>
          <w:szCs w:val="28"/>
        </w:rPr>
        <w:t>. Investors with income from active trade or business income or other passive activities, depreciation losses can provide an important tax benefit.</w:t>
      </w:r>
    </w:p>
    <w:p w14:paraId="2867FAB5" w14:textId="77777777" w:rsidR="00790436" w:rsidRPr="0085770F" w:rsidRDefault="00790436" w:rsidP="0085770F">
      <w:pPr>
        <w:rPr>
          <w:rFonts w:ascii="Garamond" w:hAnsi="Garamond"/>
          <w:sz w:val="28"/>
          <w:szCs w:val="28"/>
        </w:rPr>
      </w:pPr>
    </w:p>
    <w:p w14:paraId="44B00F7E" w14:textId="2005F9F8" w:rsidR="006A7919" w:rsidRDefault="006A7919" w:rsidP="009C6BEE">
      <w:pPr>
        <w:rPr>
          <w:rFonts w:ascii="Garamond" w:hAnsi="Garamond"/>
          <w:b/>
          <w:bCs/>
          <w:color w:val="004AAC"/>
          <w:sz w:val="30"/>
          <w:szCs w:val="30"/>
        </w:rPr>
      </w:pPr>
      <w:r w:rsidRPr="006A7919">
        <w:rPr>
          <w:rFonts w:ascii="Garamond" w:hAnsi="Garamond"/>
          <w:b/>
          <w:bCs/>
          <w:color w:val="004AAC"/>
          <w:sz w:val="30"/>
          <w:szCs w:val="30"/>
        </w:rPr>
        <w:t>Contacts</w:t>
      </w:r>
    </w:p>
    <w:p w14:paraId="1D18BBC1" w14:textId="77777777" w:rsidR="006A7919" w:rsidRPr="006A7919" w:rsidRDefault="006A7919" w:rsidP="009C6BEE">
      <w:pPr>
        <w:rPr>
          <w:rFonts w:ascii="Garamond" w:hAnsi="Garamond"/>
          <w:b/>
          <w:bCs/>
          <w:color w:val="004AAC"/>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2482"/>
        <w:gridCol w:w="2481"/>
        <w:gridCol w:w="2482"/>
      </w:tblGrid>
      <w:tr w:rsidR="006A7919" w14:paraId="01004235" w14:textId="77777777" w:rsidTr="006A7919">
        <w:trPr>
          <w:trHeight w:val="3744"/>
        </w:trPr>
        <w:tc>
          <w:tcPr>
            <w:tcW w:w="2481" w:type="dxa"/>
          </w:tcPr>
          <w:p w14:paraId="62124147" w14:textId="20EA14A8" w:rsidR="006A7919" w:rsidRDefault="006A7919" w:rsidP="009C6BEE">
            <w:pPr>
              <w:rPr>
                <w:rFonts w:ascii="Garamond" w:hAnsi="Garamond"/>
                <w:sz w:val="28"/>
                <w:szCs w:val="28"/>
              </w:rPr>
            </w:pPr>
            <w:r>
              <w:rPr>
                <w:rFonts w:ascii="Garamond" w:hAnsi="Garamond"/>
                <w:noProof/>
                <w:sz w:val="28"/>
                <w:szCs w:val="28"/>
              </w:rPr>
              <w:drawing>
                <wp:anchor distT="0" distB="0" distL="114300" distR="114300" simplePos="0" relativeHeight="251659264" behindDoc="0" locked="0" layoutInCell="1" allowOverlap="1" wp14:anchorId="4F274613" wp14:editId="7AAB1428">
                  <wp:simplePos x="0" y="0"/>
                  <wp:positionH relativeFrom="column">
                    <wp:posOffset>53975</wp:posOffset>
                  </wp:positionH>
                  <wp:positionV relativeFrom="paragraph">
                    <wp:posOffset>353060</wp:posOffset>
                  </wp:positionV>
                  <wp:extent cx="1333500" cy="1343025"/>
                  <wp:effectExtent l="0" t="0" r="0" b="9525"/>
                  <wp:wrapNone/>
                  <wp:docPr id="3" name="Picture 3"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33500" cy="1343025"/>
                          </a:xfrm>
                          <a:prstGeom prst="rect">
                            <a:avLst/>
                          </a:prstGeom>
                        </pic:spPr>
                      </pic:pic>
                    </a:graphicData>
                  </a:graphic>
                  <wp14:sizeRelH relativeFrom="page">
                    <wp14:pctWidth>0</wp14:pctWidth>
                  </wp14:sizeRelH>
                  <wp14:sizeRelV relativeFrom="page">
                    <wp14:pctHeight>0</wp14:pctHeight>
                  </wp14:sizeRelV>
                </wp:anchor>
              </w:drawing>
            </w:r>
          </w:p>
        </w:tc>
        <w:tc>
          <w:tcPr>
            <w:tcW w:w="2482" w:type="dxa"/>
          </w:tcPr>
          <w:p w14:paraId="282C5E03" w14:textId="77777777" w:rsidR="006A7919" w:rsidRDefault="006A7919" w:rsidP="009C6BEE">
            <w:pPr>
              <w:rPr>
                <w:rFonts w:ascii="Garamond" w:hAnsi="Garamond"/>
                <w:sz w:val="28"/>
                <w:szCs w:val="28"/>
              </w:rPr>
            </w:pPr>
          </w:p>
          <w:p w14:paraId="3D6B6525" w14:textId="77777777" w:rsidR="006A7919" w:rsidRDefault="006A7919" w:rsidP="009C6BEE">
            <w:pPr>
              <w:rPr>
                <w:rFonts w:ascii="Garamond" w:hAnsi="Garamond"/>
                <w:sz w:val="24"/>
                <w:szCs w:val="24"/>
              </w:rPr>
            </w:pPr>
          </w:p>
          <w:p w14:paraId="586466EC" w14:textId="6653F1AD" w:rsidR="006A7919" w:rsidRPr="006A7919" w:rsidRDefault="006A7919" w:rsidP="009C6BEE">
            <w:pPr>
              <w:rPr>
                <w:rFonts w:ascii="Garamond" w:hAnsi="Garamond"/>
                <w:b/>
                <w:bCs/>
                <w:color w:val="004AAC"/>
                <w:sz w:val="28"/>
                <w:szCs w:val="28"/>
              </w:rPr>
            </w:pPr>
            <w:r w:rsidRPr="006A7919">
              <w:rPr>
                <w:rFonts w:ascii="Garamond" w:hAnsi="Garamond"/>
                <w:b/>
                <w:bCs/>
                <w:color w:val="004AAC"/>
                <w:sz w:val="28"/>
                <w:szCs w:val="28"/>
              </w:rPr>
              <w:t>Mike O’ Mara</w:t>
            </w:r>
          </w:p>
          <w:p w14:paraId="42E4B63B" w14:textId="77777777" w:rsidR="006A7919" w:rsidRPr="006A7919" w:rsidRDefault="006A7919" w:rsidP="009C6BEE">
            <w:pPr>
              <w:rPr>
                <w:rFonts w:ascii="Garamond" w:hAnsi="Garamond"/>
                <w:sz w:val="24"/>
                <w:szCs w:val="24"/>
              </w:rPr>
            </w:pPr>
          </w:p>
          <w:p w14:paraId="0D08151D" w14:textId="77777777" w:rsidR="006A7919" w:rsidRPr="006A7919" w:rsidRDefault="006A7919" w:rsidP="009C6BEE">
            <w:pPr>
              <w:rPr>
                <w:rFonts w:ascii="Garamond" w:hAnsi="Garamond"/>
                <w:sz w:val="24"/>
                <w:szCs w:val="24"/>
              </w:rPr>
            </w:pPr>
            <w:r w:rsidRPr="006A7919">
              <w:rPr>
                <w:rFonts w:ascii="Garamond" w:hAnsi="Garamond"/>
                <w:sz w:val="24"/>
                <w:szCs w:val="24"/>
              </w:rPr>
              <w:t>Founding Partner</w:t>
            </w:r>
          </w:p>
          <w:p w14:paraId="57A64954" w14:textId="77777777" w:rsidR="006A7919" w:rsidRPr="006A7919" w:rsidRDefault="006A7919" w:rsidP="009C6BEE">
            <w:pPr>
              <w:rPr>
                <w:rFonts w:ascii="Garamond" w:hAnsi="Garamond"/>
                <w:sz w:val="24"/>
                <w:szCs w:val="24"/>
              </w:rPr>
            </w:pPr>
          </w:p>
          <w:p w14:paraId="721C11F5" w14:textId="77777777" w:rsidR="006A7919" w:rsidRPr="006A7919" w:rsidRDefault="006A7919" w:rsidP="009C6BEE">
            <w:pPr>
              <w:rPr>
                <w:rFonts w:ascii="Garamond" w:hAnsi="Garamond"/>
                <w:sz w:val="24"/>
                <w:szCs w:val="24"/>
              </w:rPr>
            </w:pPr>
            <w:r w:rsidRPr="006A7919">
              <w:rPr>
                <w:rFonts w:ascii="Garamond" w:hAnsi="Garamond"/>
                <w:sz w:val="24"/>
                <w:szCs w:val="24"/>
              </w:rPr>
              <w:t>617.549.5154</w:t>
            </w:r>
          </w:p>
          <w:p w14:paraId="5B972600" w14:textId="77777777" w:rsidR="006A7919" w:rsidRPr="006A7919" w:rsidRDefault="006A7919" w:rsidP="009C6BEE">
            <w:pPr>
              <w:rPr>
                <w:rFonts w:ascii="Garamond" w:hAnsi="Garamond"/>
                <w:sz w:val="24"/>
                <w:szCs w:val="24"/>
              </w:rPr>
            </w:pPr>
          </w:p>
          <w:p w14:paraId="715F2113" w14:textId="164265D9" w:rsidR="006A7919" w:rsidRDefault="006A7919" w:rsidP="009C6BEE">
            <w:pPr>
              <w:rPr>
                <w:rFonts w:ascii="Garamond" w:hAnsi="Garamond"/>
                <w:sz w:val="28"/>
                <w:szCs w:val="28"/>
              </w:rPr>
            </w:pPr>
            <w:r w:rsidRPr="006A7919">
              <w:rPr>
                <w:rFonts w:ascii="Garamond" w:hAnsi="Garamond"/>
                <w:sz w:val="24"/>
                <w:szCs w:val="24"/>
              </w:rPr>
              <w:t>mike@ozonecapllc.com</w:t>
            </w:r>
          </w:p>
        </w:tc>
        <w:tc>
          <w:tcPr>
            <w:tcW w:w="2481" w:type="dxa"/>
          </w:tcPr>
          <w:p w14:paraId="6984BF66" w14:textId="5BB0E855" w:rsidR="006A7919" w:rsidRDefault="006A7919" w:rsidP="009C6BEE">
            <w:pPr>
              <w:rPr>
                <w:rFonts w:ascii="Garamond" w:hAnsi="Garamond"/>
                <w:sz w:val="28"/>
                <w:szCs w:val="28"/>
              </w:rPr>
            </w:pPr>
            <w:r>
              <w:rPr>
                <w:rFonts w:ascii="Garamond" w:hAnsi="Garamond"/>
                <w:noProof/>
                <w:sz w:val="28"/>
                <w:szCs w:val="28"/>
              </w:rPr>
              <w:drawing>
                <wp:anchor distT="0" distB="0" distL="114300" distR="114300" simplePos="0" relativeHeight="251658240" behindDoc="0" locked="0" layoutInCell="1" allowOverlap="1" wp14:anchorId="2CCDEB9B" wp14:editId="39BB6D11">
                  <wp:simplePos x="0" y="0"/>
                  <wp:positionH relativeFrom="column">
                    <wp:posOffset>29845</wp:posOffset>
                  </wp:positionH>
                  <wp:positionV relativeFrom="paragraph">
                    <wp:posOffset>391160</wp:posOffset>
                  </wp:positionV>
                  <wp:extent cx="1335024" cy="1343939"/>
                  <wp:effectExtent l="0" t="0" r="0" b="8890"/>
                  <wp:wrapNone/>
                  <wp:docPr id="4" name="Picture 4"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35024" cy="1343939"/>
                          </a:xfrm>
                          <a:prstGeom prst="rect">
                            <a:avLst/>
                          </a:prstGeom>
                        </pic:spPr>
                      </pic:pic>
                    </a:graphicData>
                  </a:graphic>
                  <wp14:sizeRelH relativeFrom="page">
                    <wp14:pctWidth>0</wp14:pctWidth>
                  </wp14:sizeRelH>
                  <wp14:sizeRelV relativeFrom="page">
                    <wp14:pctHeight>0</wp14:pctHeight>
                  </wp14:sizeRelV>
                </wp:anchor>
              </w:drawing>
            </w:r>
          </w:p>
        </w:tc>
        <w:tc>
          <w:tcPr>
            <w:tcW w:w="2482" w:type="dxa"/>
          </w:tcPr>
          <w:p w14:paraId="0C1CA504" w14:textId="77777777" w:rsidR="006A7919" w:rsidRDefault="006A7919" w:rsidP="006A7919">
            <w:pPr>
              <w:rPr>
                <w:rFonts w:ascii="Garamond" w:hAnsi="Garamond"/>
                <w:sz w:val="24"/>
                <w:szCs w:val="24"/>
              </w:rPr>
            </w:pPr>
          </w:p>
          <w:p w14:paraId="2D19F3EF" w14:textId="77777777" w:rsidR="006A7919" w:rsidRDefault="006A7919" w:rsidP="006A7919">
            <w:pPr>
              <w:rPr>
                <w:rFonts w:ascii="Garamond" w:hAnsi="Garamond"/>
                <w:sz w:val="24"/>
                <w:szCs w:val="24"/>
              </w:rPr>
            </w:pPr>
          </w:p>
          <w:p w14:paraId="31E42403" w14:textId="5D6E9E83" w:rsidR="006A7919" w:rsidRPr="006A7919" w:rsidRDefault="006A7919" w:rsidP="006A7919">
            <w:pPr>
              <w:rPr>
                <w:rFonts w:ascii="Garamond" w:hAnsi="Garamond"/>
                <w:b/>
                <w:bCs/>
                <w:color w:val="004AAC"/>
                <w:sz w:val="28"/>
                <w:szCs w:val="28"/>
              </w:rPr>
            </w:pPr>
            <w:r w:rsidRPr="006A7919">
              <w:rPr>
                <w:rFonts w:ascii="Garamond" w:hAnsi="Garamond"/>
                <w:b/>
                <w:bCs/>
                <w:color w:val="004AAC"/>
                <w:sz w:val="28"/>
                <w:szCs w:val="28"/>
              </w:rPr>
              <w:t>Paul Saint Pierre</w:t>
            </w:r>
          </w:p>
          <w:p w14:paraId="184644AF" w14:textId="77777777" w:rsidR="006A7919" w:rsidRPr="006A7919" w:rsidRDefault="006A7919" w:rsidP="006A7919">
            <w:pPr>
              <w:rPr>
                <w:rFonts w:ascii="Garamond" w:hAnsi="Garamond"/>
                <w:sz w:val="24"/>
                <w:szCs w:val="24"/>
              </w:rPr>
            </w:pPr>
          </w:p>
          <w:p w14:paraId="5AC5ACE3" w14:textId="77777777" w:rsidR="006A7919" w:rsidRPr="006A7919" w:rsidRDefault="006A7919" w:rsidP="006A7919">
            <w:pPr>
              <w:rPr>
                <w:rFonts w:ascii="Garamond" w:hAnsi="Garamond"/>
                <w:sz w:val="24"/>
                <w:szCs w:val="24"/>
              </w:rPr>
            </w:pPr>
            <w:r w:rsidRPr="006A7919">
              <w:rPr>
                <w:rFonts w:ascii="Garamond" w:hAnsi="Garamond"/>
                <w:sz w:val="24"/>
                <w:szCs w:val="24"/>
              </w:rPr>
              <w:t>Founding Partner</w:t>
            </w:r>
          </w:p>
          <w:p w14:paraId="6C866CF5" w14:textId="77777777" w:rsidR="006A7919" w:rsidRPr="006A7919" w:rsidRDefault="006A7919" w:rsidP="006A7919">
            <w:pPr>
              <w:rPr>
                <w:rFonts w:ascii="Garamond" w:hAnsi="Garamond"/>
                <w:sz w:val="24"/>
                <w:szCs w:val="24"/>
              </w:rPr>
            </w:pPr>
          </w:p>
          <w:p w14:paraId="7C0EF3CD" w14:textId="7F54AF37" w:rsidR="006A7919" w:rsidRPr="006A7919" w:rsidRDefault="006A7919" w:rsidP="006A7919">
            <w:pPr>
              <w:rPr>
                <w:rFonts w:ascii="Garamond" w:hAnsi="Garamond"/>
                <w:sz w:val="24"/>
                <w:szCs w:val="24"/>
              </w:rPr>
            </w:pPr>
            <w:r>
              <w:rPr>
                <w:rFonts w:ascii="Garamond" w:hAnsi="Garamond"/>
                <w:sz w:val="24"/>
                <w:szCs w:val="24"/>
              </w:rPr>
              <w:t>407.353.3618</w:t>
            </w:r>
          </w:p>
          <w:p w14:paraId="64AC08F7" w14:textId="77777777" w:rsidR="006A7919" w:rsidRPr="006A7919" w:rsidRDefault="006A7919" w:rsidP="006A7919">
            <w:pPr>
              <w:rPr>
                <w:rFonts w:ascii="Garamond" w:hAnsi="Garamond"/>
                <w:sz w:val="24"/>
                <w:szCs w:val="24"/>
              </w:rPr>
            </w:pPr>
          </w:p>
          <w:p w14:paraId="24AFA2AB" w14:textId="1C5D1933" w:rsidR="006A7919" w:rsidRDefault="006A7919" w:rsidP="006A7919">
            <w:pPr>
              <w:rPr>
                <w:rFonts w:ascii="Garamond" w:hAnsi="Garamond"/>
                <w:sz w:val="28"/>
                <w:szCs w:val="28"/>
              </w:rPr>
            </w:pPr>
            <w:r>
              <w:rPr>
                <w:rFonts w:ascii="Garamond" w:hAnsi="Garamond"/>
                <w:sz w:val="24"/>
                <w:szCs w:val="24"/>
              </w:rPr>
              <w:t>paul</w:t>
            </w:r>
            <w:r w:rsidRPr="006A7919">
              <w:rPr>
                <w:rFonts w:ascii="Garamond" w:hAnsi="Garamond"/>
                <w:sz w:val="24"/>
                <w:szCs w:val="24"/>
              </w:rPr>
              <w:t>@ozonecapllc.com</w:t>
            </w:r>
          </w:p>
        </w:tc>
      </w:tr>
    </w:tbl>
    <w:p w14:paraId="4DE56935" w14:textId="628F9443" w:rsidR="006A7919" w:rsidRDefault="006A7919" w:rsidP="00954539">
      <w:pPr>
        <w:rPr>
          <w:rFonts w:ascii="Garamond" w:hAnsi="Garamond"/>
          <w:sz w:val="28"/>
          <w:szCs w:val="28"/>
        </w:rPr>
      </w:pPr>
    </w:p>
    <w:p w14:paraId="131E2AF7" w14:textId="5BB9B0DF" w:rsidR="00A669A8" w:rsidRPr="00A669A8" w:rsidRDefault="00A669A8" w:rsidP="00954539">
      <w:pPr>
        <w:rPr>
          <w:rFonts w:ascii="Garamond" w:hAnsi="Garamond"/>
          <w:b/>
          <w:bCs/>
          <w:color w:val="004AAC"/>
          <w:sz w:val="30"/>
          <w:szCs w:val="30"/>
        </w:rPr>
      </w:pPr>
      <w:r w:rsidRPr="00A669A8">
        <w:rPr>
          <w:rFonts w:ascii="Garamond" w:hAnsi="Garamond"/>
          <w:b/>
          <w:bCs/>
          <w:color w:val="004AAC"/>
          <w:sz w:val="30"/>
          <w:szCs w:val="30"/>
        </w:rPr>
        <w:t xml:space="preserve">Legal Notice </w:t>
      </w:r>
    </w:p>
    <w:p w14:paraId="4CF289E6" w14:textId="42166EE3" w:rsidR="00A669A8" w:rsidRDefault="00A669A8" w:rsidP="00A669A8">
      <w:pPr>
        <w:rPr>
          <w:rFonts w:ascii="Garamond" w:hAnsi="Garamond"/>
          <w:sz w:val="28"/>
          <w:szCs w:val="28"/>
        </w:rPr>
      </w:pPr>
      <w:r w:rsidRPr="00A669A8">
        <w:rPr>
          <w:rFonts w:ascii="Garamond" w:hAnsi="Garamond"/>
          <w:sz w:val="28"/>
          <w:szCs w:val="28"/>
        </w:rPr>
        <w:t xml:space="preserve">This </w:t>
      </w:r>
      <w:r w:rsidR="00E220F7">
        <w:rPr>
          <w:rFonts w:ascii="Garamond" w:hAnsi="Garamond"/>
          <w:sz w:val="28"/>
          <w:szCs w:val="28"/>
        </w:rPr>
        <w:t xml:space="preserve">document </w:t>
      </w:r>
      <w:r w:rsidRPr="00A669A8">
        <w:rPr>
          <w:rFonts w:ascii="Garamond" w:hAnsi="Garamond"/>
          <w:sz w:val="28"/>
          <w:szCs w:val="28"/>
        </w:rPr>
        <w:t xml:space="preserve">has been prepared by </w:t>
      </w:r>
      <w:r>
        <w:rPr>
          <w:rFonts w:ascii="Garamond" w:hAnsi="Garamond"/>
          <w:sz w:val="28"/>
          <w:szCs w:val="28"/>
        </w:rPr>
        <w:t>Ozone Capital LLC</w:t>
      </w:r>
      <w:r w:rsidRPr="00A669A8">
        <w:rPr>
          <w:rFonts w:ascii="Garamond" w:hAnsi="Garamond"/>
          <w:sz w:val="28"/>
          <w:szCs w:val="28"/>
        </w:rPr>
        <w:t xml:space="preserve">, a </w:t>
      </w:r>
      <w:r>
        <w:rPr>
          <w:rFonts w:ascii="Garamond" w:hAnsi="Garamond"/>
          <w:sz w:val="28"/>
          <w:szCs w:val="28"/>
        </w:rPr>
        <w:t xml:space="preserve">Massachusetts based </w:t>
      </w:r>
      <w:r w:rsidRPr="00A669A8">
        <w:rPr>
          <w:rFonts w:ascii="Garamond" w:hAnsi="Garamond"/>
          <w:sz w:val="28"/>
          <w:szCs w:val="28"/>
        </w:rPr>
        <w:t xml:space="preserve">limited liability company </w:t>
      </w:r>
      <w:r w:rsidR="00E220F7">
        <w:rPr>
          <w:rFonts w:ascii="Garamond" w:hAnsi="Garamond"/>
          <w:sz w:val="28"/>
          <w:szCs w:val="28"/>
        </w:rPr>
        <w:t>and is for i</w:t>
      </w:r>
      <w:r w:rsidRPr="00A669A8">
        <w:rPr>
          <w:rFonts w:ascii="Garamond" w:hAnsi="Garamond"/>
          <w:sz w:val="28"/>
          <w:szCs w:val="28"/>
        </w:rPr>
        <w:t xml:space="preserve">nformational purposes only and is not to be reproduced or redistributed without our prior authorization. </w:t>
      </w:r>
    </w:p>
    <w:p w14:paraId="4A4A27A3" w14:textId="0C02794C" w:rsidR="00E220F7" w:rsidRPr="00A669A8" w:rsidRDefault="00E220F7" w:rsidP="00A669A8">
      <w:pPr>
        <w:rPr>
          <w:rFonts w:ascii="Garamond" w:hAnsi="Garamond"/>
          <w:sz w:val="28"/>
          <w:szCs w:val="28"/>
        </w:rPr>
      </w:pPr>
      <w:r>
        <w:rPr>
          <w:rFonts w:ascii="Garamond" w:hAnsi="Garamond"/>
          <w:sz w:val="28"/>
          <w:szCs w:val="28"/>
        </w:rPr>
        <w:t>We are not responsible for any errors or omissions in this document. No one should rely on this document to make any financial decision.  Ozone Capital LLC is not a FINRA registered broker nor Registered Investment Advisor. Any investment decisions should only be made after receiving professional legal, tax and accounting advice.</w:t>
      </w:r>
    </w:p>
    <w:sectPr w:rsidR="00E220F7" w:rsidRPr="00A669A8" w:rsidSect="008577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AA77" w14:textId="77777777" w:rsidR="00E963FD" w:rsidRDefault="00E963FD" w:rsidP="006E7FD5">
      <w:pPr>
        <w:spacing w:after="0" w:line="240" w:lineRule="auto"/>
      </w:pPr>
      <w:r>
        <w:separator/>
      </w:r>
    </w:p>
  </w:endnote>
  <w:endnote w:type="continuationSeparator" w:id="0">
    <w:p w14:paraId="1A18C0C0" w14:textId="77777777" w:rsidR="00E963FD" w:rsidRDefault="00E963FD" w:rsidP="006E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9E6" w14:textId="198E428D" w:rsidR="006E7FD5" w:rsidRPr="006E7FD5" w:rsidRDefault="006F45BF" w:rsidP="006E7FD5">
    <w:pPr>
      <w:pStyle w:val="Footer"/>
      <w:pBdr>
        <w:top w:val="single" w:sz="8" w:space="1" w:color="BFBFBF" w:themeColor="background1" w:themeShade="BF"/>
      </w:pBdr>
      <w:rPr>
        <w:rFonts w:ascii="Garamond" w:hAnsi="Garamond"/>
        <w:sz w:val="24"/>
        <w:szCs w:val="24"/>
      </w:rPr>
    </w:pPr>
    <w:r>
      <w:rPr>
        <w:rFonts w:ascii="Garamond" w:hAnsi="Garamond"/>
        <w:sz w:val="24"/>
        <w:szCs w:val="24"/>
      </w:rPr>
      <w:t xml:space="preserve">Ozone Capital, LLC – </w:t>
    </w:r>
    <w:r w:rsidR="006E7FD5" w:rsidRPr="006E7FD5">
      <w:rPr>
        <w:rFonts w:ascii="Garamond" w:hAnsi="Garamond"/>
        <w:sz w:val="24"/>
        <w:szCs w:val="24"/>
      </w:rPr>
      <w:t>Confidential</w:t>
    </w:r>
    <w:r>
      <w:rPr>
        <w:rFonts w:ascii="Garamond" w:hAnsi="Garamond"/>
        <w:sz w:val="24"/>
        <w:szCs w:val="24"/>
      </w:rPr>
      <w:tab/>
    </w:r>
    <w:r>
      <w:rPr>
        <w:rFonts w:ascii="Garamond" w:hAnsi="Garamond"/>
        <w:sz w:val="24"/>
        <w:szCs w:val="24"/>
      </w:rPr>
      <w:tab/>
    </w:r>
    <w:r w:rsidRPr="006F45BF">
      <w:rPr>
        <w:rFonts w:ascii="Garamond" w:hAnsi="Garamond"/>
        <w:sz w:val="24"/>
        <w:szCs w:val="24"/>
      </w:rPr>
      <w:fldChar w:fldCharType="begin"/>
    </w:r>
    <w:r w:rsidRPr="006F45BF">
      <w:rPr>
        <w:rFonts w:ascii="Garamond" w:hAnsi="Garamond"/>
        <w:sz w:val="24"/>
        <w:szCs w:val="24"/>
      </w:rPr>
      <w:instrText xml:space="preserve"> PAGE   \* MERGEFORMAT </w:instrText>
    </w:r>
    <w:r w:rsidRPr="006F45BF">
      <w:rPr>
        <w:rFonts w:ascii="Garamond" w:hAnsi="Garamond"/>
        <w:sz w:val="24"/>
        <w:szCs w:val="24"/>
      </w:rPr>
      <w:fldChar w:fldCharType="separate"/>
    </w:r>
    <w:r w:rsidRPr="006F45BF">
      <w:rPr>
        <w:rFonts w:ascii="Garamond" w:hAnsi="Garamond"/>
        <w:noProof/>
        <w:sz w:val="24"/>
        <w:szCs w:val="24"/>
      </w:rPr>
      <w:t>1</w:t>
    </w:r>
    <w:r w:rsidRPr="006F45BF">
      <w:rPr>
        <w:rFonts w:ascii="Garamond" w:hAnsi="Garamond"/>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CB54" w14:textId="77777777" w:rsidR="00E963FD" w:rsidRDefault="00E963FD" w:rsidP="006E7FD5">
      <w:pPr>
        <w:spacing w:after="0" w:line="240" w:lineRule="auto"/>
      </w:pPr>
      <w:r>
        <w:separator/>
      </w:r>
    </w:p>
  </w:footnote>
  <w:footnote w:type="continuationSeparator" w:id="0">
    <w:p w14:paraId="333EFFEA" w14:textId="77777777" w:rsidR="00E963FD" w:rsidRDefault="00E963FD" w:rsidP="006E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0B08" w14:textId="78C20157" w:rsidR="006E7FD5" w:rsidRDefault="006E7FD5">
    <w:pPr>
      <w:pStyle w:val="Header"/>
    </w:pPr>
    <w:r>
      <w:rPr>
        <w:noProof/>
      </w:rPr>
      <w:drawing>
        <wp:anchor distT="0" distB="0" distL="114300" distR="114300" simplePos="0" relativeHeight="251658240" behindDoc="0" locked="0" layoutInCell="1" allowOverlap="1" wp14:anchorId="296D4827" wp14:editId="5730CB9B">
          <wp:simplePos x="0" y="0"/>
          <wp:positionH relativeFrom="margin">
            <wp:align>left</wp:align>
          </wp:positionH>
          <wp:positionV relativeFrom="paragraph">
            <wp:posOffset>-228600</wp:posOffset>
          </wp:positionV>
          <wp:extent cx="1685925" cy="838200"/>
          <wp:effectExtent l="0" t="0" r="9525" b="0"/>
          <wp:wrapNone/>
          <wp:docPr id="2" name="Picture 2"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519" cy="838495"/>
                  </a:xfrm>
                  <a:prstGeom prst="rect">
                    <a:avLst/>
                  </a:prstGeom>
                </pic:spPr>
              </pic:pic>
            </a:graphicData>
          </a:graphic>
          <wp14:sizeRelH relativeFrom="page">
            <wp14:pctWidth>0</wp14:pctWidth>
          </wp14:sizeRelH>
          <wp14:sizeRelV relativeFrom="page">
            <wp14:pctHeight>0</wp14:pctHeight>
          </wp14:sizeRelV>
        </wp:anchor>
      </w:drawing>
    </w:r>
  </w:p>
  <w:p w14:paraId="5FE0289D" w14:textId="77777777" w:rsidR="006E7FD5" w:rsidRDefault="006E7FD5">
    <w:pPr>
      <w:pStyle w:val="Header"/>
    </w:pPr>
  </w:p>
  <w:p w14:paraId="7B7A1C0B" w14:textId="77777777" w:rsidR="006E7FD5" w:rsidRDefault="006E7FD5">
    <w:pPr>
      <w:pStyle w:val="Header"/>
    </w:pPr>
  </w:p>
  <w:p w14:paraId="1E351DD6" w14:textId="41C12D55" w:rsidR="006E7FD5" w:rsidRDefault="006F45BF" w:rsidP="0085433B">
    <w:pPr>
      <w:pStyle w:val="Header"/>
      <w:pBdr>
        <w:bottom w:val="single" w:sz="8" w:space="1" w:color="004AAC"/>
      </w:pBdr>
      <w:jc w:val="right"/>
    </w:pPr>
    <w:r w:rsidRPr="006F45BF">
      <w:rPr>
        <w:rFonts w:ascii="Garamond" w:hAnsi="Garamond"/>
        <w:b/>
        <w:bCs/>
        <w:color w:val="004AAC"/>
        <w:sz w:val="32"/>
        <w:szCs w:val="32"/>
      </w:rPr>
      <w:tab/>
    </w:r>
    <w:r w:rsidR="0085433B">
      <w:rPr>
        <w:rFonts w:ascii="Garamond" w:hAnsi="Garamond"/>
        <w:b/>
        <w:bCs/>
        <w:color w:val="004AAC"/>
        <w:sz w:val="32"/>
        <w:szCs w:val="32"/>
      </w:rPr>
      <w:t>Depreciation Recapture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319"/>
    <w:multiLevelType w:val="hybridMultilevel"/>
    <w:tmpl w:val="B8040D74"/>
    <w:lvl w:ilvl="0" w:tplc="B25018B6">
      <w:start w:val="1"/>
      <w:numFmt w:val="bullet"/>
      <w:lvlText w:val=""/>
      <w:lvlJc w:val="left"/>
      <w:pPr>
        <w:ind w:left="720" w:hanging="360"/>
      </w:pPr>
      <w:rPr>
        <w:rFonts w:ascii="Wingdings" w:hAnsi="Wingdings" w:hint="default"/>
        <w:color w:val="004AAC"/>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940B94"/>
    <w:multiLevelType w:val="hybridMultilevel"/>
    <w:tmpl w:val="AE0A4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117E"/>
    <w:multiLevelType w:val="hybridMultilevel"/>
    <w:tmpl w:val="07A8F2BE"/>
    <w:lvl w:ilvl="0" w:tplc="B25018B6">
      <w:start w:val="1"/>
      <w:numFmt w:val="bullet"/>
      <w:lvlText w:val=""/>
      <w:lvlJc w:val="left"/>
      <w:pPr>
        <w:ind w:left="720" w:hanging="360"/>
      </w:pPr>
      <w:rPr>
        <w:rFonts w:ascii="Wingdings" w:hAnsi="Wingdings" w:hint="default"/>
        <w:color w:val="004AAC"/>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EF1CC8"/>
    <w:multiLevelType w:val="hybridMultilevel"/>
    <w:tmpl w:val="48962478"/>
    <w:lvl w:ilvl="0" w:tplc="B54243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32FBE"/>
    <w:multiLevelType w:val="hybridMultilevel"/>
    <w:tmpl w:val="AA5C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0C80"/>
    <w:multiLevelType w:val="hybridMultilevel"/>
    <w:tmpl w:val="3D24212A"/>
    <w:lvl w:ilvl="0" w:tplc="B25018B6">
      <w:start w:val="1"/>
      <w:numFmt w:val="bullet"/>
      <w:lvlText w:val=""/>
      <w:lvlJc w:val="left"/>
      <w:pPr>
        <w:ind w:left="720" w:hanging="360"/>
      </w:pPr>
      <w:rPr>
        <w:rFonts w:ascii="Wingdings" w:hAnsi="Wingdings" w:hint="default"/>
        <w:color w:val="004AA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C7C92"/>
    <w:multiLevelType w:val="hybridMultilevel"/>
    <w:tmpl w:val="8A68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149092">
    <w:abstractNumId w:val="4"/>
  </w:num>
  <w:num w:numId="2" w16cid:durableId="211581347">
    <w:abstractNumId w:val="0"/>
  </w:num>
  <w:num w:numId="3" w16cid:durableId="539242973">
    <w:abstractNumId w:val="1"/>
  </w:num>
  <w:num w:numId="4" w16cid:durableId="1483817289">
    <w:abstractNumId w:val="3"/>
  </w:num>
  <w:num w:numId="5" w16cid:durableId="1247957039">
    <w:abstractNumId w:val="5"/>
  </w:num>
  <w:num w:numId="6" w16cid:durableId="305279459">
    <w:abstractNumId w:val="6"/>
  </w:num>
  <w:num w:numId="7" w16cid:durableId="1095323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18"/>
    <w:rsid w:val="000005DA"/>
    <w:rsid w:val="00124C18"/>
    <w:rsid w:val="001D5090"/>
    <w:rsid w:val="0022721C"/>
    <w:rsid w:val="00345BC5"/>
    <w:rsid w:val="00373297"/>
    <w:rsid w:val="003C58FB"/>
    <w:rsid w:val="00482AD8"/>
    <w:rsid w:val="00684A8F"/>
    <w:rsid w:val="006A7919"/>
    <w:rsid w:val="006E7FD5"/>
    <w:rsid w:val="006F1195"/>
    <w:rsid w:val="006F45BF"/>
    <w:rsid w:val="00790436"/>
    <w:rsid w:val="0085433B"/>
    <w:rsid w:val="0085770F"/>
    <w:rsid w:val="00954539"/>
    <w:rsid w:val="009C6BEE"/>
    <w:rsid w:val="009F3C4B"/>
    <w:rsid w:val="00A669A8"/>
    <w:rsid w:val="00B31A13"/>
    <w:rsid w:val="00D97E8B"/>
    <w:rsid w:val="00E220F7"/>
    <w:rsid w:val="00E963FD"/>
    <w:rsid w:val="00EF1292"/>
    <w:rsid w:val="00FC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2737"/>
  <w15:chartTrackingRefBased/>
  <w15:docId w15:val="{18638512-9D5D-4252-8825-042A6023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5"/>
  </w:style>
  <w:style w:type="paragraph" w:styleId="Footer">
    <w:name w:val="footer"/>
    <w:basedOn w:val="Normal"/>
    <w:link w:val="FooterChar"/>
    <w:uiPriority w:val="99"/>
    <w:unhideWhenUsed/>
    <w:rsid w:val="006E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5"/>
  </w:style>
  <w:style w:type="character" w:styleId="Hyperlink">
    <w:name w:val="Hyperlink"/>
    <w:basedOn w:val="DefaultParagraphFont"/>
    <w:uiPriority w:val="99"/>
    <w:unhideWhenUsed/>
    <w:rsid w:val="006E7FD5"/>
    <w:rPr>
      <w:color w:val="0563C1" w:themeColor="hyperlink"/>
      <w:u w:val="single"/>
    </w:rPr>
  </w:style>
  <w:style w:type="character" w:styleId="UnresolvedMention">
    <w:name w:val="Unresolved Mention"/>
    <w:basedOn w:val="DefaultParagraphFont"/>
    <w:uiPriority w:val="99"/>
    <w:semiHidden/>
    <w:unhideWhenUsed/>
    <w:rsid w:val="006E7FD5"/>
    <w:rPr>
      <w:color w:val="605E5C"/>
      <w:shd w:val="clear" w:color="auto" w:fill="E1DFDD"/>
    </w:rPr>
  </w:style>
  <w:style w:type="paragraph" w:styleId="ListParagraph">
    <w:name w:val="List Paragraph"/>
    <w:basedOn w:val="Normal"/>
    <w:uiPriority w:val="34"/>
    <w:qFormat/>
    <w:rsid w:val="0022721C"/>
    <w:pPr>
      <w:ind w:left="720"/>
      <w:contextualSpacing/>
    </w:pPr>
  </w:style>
  <w:style w:type="table" w:styleId="TableGrid">
    <w:name w:val="Table Grid"/>
    <w:basedOn w:val="TableNormal"/>
    <w:uiPriority w:val="39"/>
    <w:rsid w:val="006A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529</Words>
  <Characters>2900</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MacRoss</dc:creator>
  <cp:keywords/>
  <dc:description/>
  <cp:lastModifiedBy>MacRoss</cp:lastModifiedBy>
  <cp:revision>3</cp:revision>
  <dcterms:created xsi:type="dcterms:W3CDTF">2024-04-06T18:12:00Z</dcterms:created>
  <dcterms:modified xsi:type="dcterms:W3CDTF">2024-04-06T18:31:00Z</dcterms:modified>
</cp:coreProperties>
</file>